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B9F4F" w14:textId="77777777" w:rsidR="00ED05E0" w:rsidRDefault="00ED05E0" w:rsidP="00ED05E0">
      <w:pPr>
        <w:pStyle w:val="BodyText"/>
        <w:spacing w:before="187" w:line="256" w:lineRule="auto"/>
        <w:ind w:left="100" w:right="98"/>
        <w:jc w:val="center"/>
        <w:rPr>
          <w:b/>
          <w:bCs/>
          <w:sz w:val="28"/>
          <w:szCs w:val="28"/>
          <w:lang w:val="fr-FR"/>
        </w:rPr>
      </w:pPr>
      <w:r>
        <w:rPr>
          <w:b/>
          <w:bCs/>
          <w:sz w:val="28"/>
          <w:szCs w:val="28"/>
          <w:lang w:val="fr-FR"/>
        </w:rPr>
        <w:t>Centre CyberSantéNB, alimenté par iTacit</w:t>
      </w:r>
    </w:p>
    <w:p w14:paraId="0D9B8C1E" w14:textId="77777777" w:rsidR="00ED05E0" w:rsidRDefault="00ED05E0" w:rsidP="00ED05E0">
      <w:pPr>
        <w:pStyle w:val="BodyText"/>
        <w:spacing w:before="187" w:line="256" w:lineRule="auto"/>
        <w:ind w:left="100" w:right="98"/>
        <w:jc w:val="center"/>
        <w:rPr>
          <w:b/>
          <w:bCs/>
          <w:sz w:val="28"/>
          <w:szCs w:val="28"/>
          <w:lang w:val="fr-FR"/>
        </w:rPr>
      </w:pPr>
      <w:r>
        <w:rPr>
          <w:b/>
          <w:bCs/>
          <w:sz w:val="28"/>
          <w:szCs w:val="28"/>
          <w:lang w:val="fr-FR"/>
        </w:rPr>
        <w:t>Enregistrement</w:t>
      </w:r>
    </w:p>
    <w:p w14:paraId="235B1C63" w14:textId="77777777" w:rsidR="00ED05E0" w:rsidRDefault="00ED05E0" w:rsidP="00ED05E0">
      <w:pPr>
        <w:pStyle w:val="BodyText"/>
        <w:spacing w:before="187" w:line="256" w:lineRule="auto"/>
        <w:ind w:left="100" w:right="98"/>
        <w:rPr>
          <w:lang w:val="fr-FR"/>
        </w:rPr>
      </w:pPr>
      <w:r>
        <w:rPr>
          <w:lang w:val="fr-FR"/>
        </w:rPr>
        <w:t>Si vous n’avez pas un identifiant de connexion pour notre plateforme d’apprentissage, les instructions ci-dessous vous aideront dans le processus d’enregistrement.</w:t>
      </w:r>
    </w:p>
    <w:p w14:paraId="795CD25C" w14:textId="77777777" w:rsidR="00ED05E0" w:rsidRDefault="00ED05E0" w:rsidP="00ED05E0">
      <w:pPr>
        <w:pStyle w:val="BodyText"/>
        <w:spacing w:before="187" w:line="256" w:lineRule="auto"/>
        <w:ind w:left="100" w:right="98"/>
        <w:rPr>
          <w:lang w:val="fr-FR"/>
        </w:rPr>
      </w:pPr>
    </w:p>
    <w:p w14:paraId="78FF0FCD" w14:textId="77777777" w:rsidR="00ED05E0" w:rsidRDefault="00ED05E0" w:rsidP="00ED05E0">
      <w:pPr>
        <w:pStyle w:val="ListParagraph"/>
        <w:widowControl/>
        <w:numPr>
          <w:ilvl w:val="0"/>
          <w:numId w:val="1"/>
        </w:numPr>
        <w:autoSpaceDE/>
        <w:spacing w:line="256" w:lineRule="auto"/>
        <w:contextualSpacing/>
        <w:rPr>
          <w:color w:val="000000"/>
          <w:lang w:val="fr-FR"/>
        </w:rPr>
      </w:pPr>
      <w:r>
        <w:rPr>
          <w:color w:val="000000"/>
          <w:lang w:val="fr-FR"/>
        </w:rPr>
        <w:t xml:space="preserve">Accédez au Centre CyberSantéNB, en cliquant sur ce lien : </w:t>
      </w:r>
      <w:hyperlink r:id="rId8" w:history="1">
        <w:r>
          <w:rPr>
            <w:rStyle w:val="Hyperlink"/>
            <w:lang w:val="fr-FR"/>
          </w:rPr>
          <w:t>https://ehealthnbcentre.itacit.com</w:t>
        </w:r>
      </w:hyperlink>
      <w:r>
        <w:rPr>
          <w:color w:val="000000"/>
          <w:lang w:val="fr-FR"/>
        </w:rPr>
        <w:t>.</w:t>
      </w:r>
    </w:p>
    <w:p w14:paraId="6C0E1964" w14:textId="77777777" w:rsidR="00ED05E0" w:rsidRDefault="00ED05E0" w:rsidP="00ED05E0">
      <w:pPr>
        <w:pStyle w:val="ListParagraph"/>
        <w:widowControl/>
        <w:numPr>
          <w:ilvl w:val="0"/>
          <w:numId w:val="1"/>
        </w:numPr>
        <w:autoSpaceDE/>
        <w:spacing w:line="256" w:lineRule="auto"/>
        <w:rPr>
          <w:lang w:val="fr-FR"/>
        </w:rPr>
      </w:pPr>
      <w:r>
        <w:rPr>
          <w:color w:val="000000"/>
          <w:lang w:val="fr-FR"/>
        </w:rPr>
        <w:t>Si vous avez besoin de changer votre langue, sélectionnez le menu déroulant en haut à droite.  L’</w:t>
      </w:r>
      <w:r>
        <w:rPr>
          <w:lang w:val="fr-FR"/>
        </w:rPr>
        <w:t xml:space="preserve">enregistrement avec votre langue </w:t>
      </w:r>
      <w:r>
        <w:rPr>
          <w:color w:val="000000"/>
          <w:lang w:val="fr-FR"/>
        </w:rPr>
        <w:t>sélectionnée</w:t>
      </w:r>
      <w:r>
        <w:rPr>
          <w:lang w:val="fr-FR"/>
        </w:rPr>
        <w:t xml:space="preserve"> fera en sorte que les communications seront dans la langue de votre choix. </w:t>
      </w:r>
    </w:p>
    <w:p w14:paraId="73F0FD26" w14:textId="77777777" w:rsidR="00ED05E0" w:rsidRDefault="00ED05E0" w:rsidP="00ED05E0">
      <w:pPr>
        <w:pStyle w:val="ListParagraph"/>
        <w:widowControl/>
        <w:autoSpaceDE/>
        <w:spacing w:line="256" w:lineRule="auto"/>
        <w:ind w:firstLine="0"/>
        <w:rPr>
          <w:lang w:val="fr-FR"/>
        </w:rPr>
      </w:pPr>
      <w:r>
        <w:rPr>
          <w:noProof/>
        </w:rPr>
        <w:drawing>
          <wp:inline distT="0" distB="0" distL="0" distR="0" wp14:anchorId="643A5319" wp14:editId="2C92DE6B">
            <wp:extent cx="5314950" cy="1285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1285875"/>
                    </a:xfrm>
                    <a:prstGeom prst="rect">
                      <a:avLst/>
                    </a:prstGeom>
                    <a:noFill/>
                    <a:ln>
                      <a:noFill/>
                    </a:ln>
                  </pic:spPr>
                </pic:pic>
              </a:graphicData>
            </a:graphic>
          </wp:inline>
        </w:drawing>
      </w:r>
    </w:p>
    <w:p w14:paraId="7F2C8353" w14:textId="77777777" w:rsidR="00ED05E0" w:rsidRDefault="00ED05E0" w:rsidP="00ED05E0">
      <w:pPr>
        <w:tabs>
          <w:tab w:val="left" w:pos="821"/>
        </w:tabs>
        <w:spacing w:before="20"/>
      </w:pPr>
    </w:p>
    <w:p w14:paraId="69B71657" w14:textId="77777777" w:rsidR="00ED05E0" w:rsidRDefault="00ED05E0" w:rsidP="00ED05E0">
      <w:pPr>
        <w:pStyle w:val="ListParagraph"/>
        <w:numPr>
          <w:ilvl w:val="0"/>
          <w:numId w:val="1"/>
        </w:numPr>
        <w:tabs>
          <w:tab w:val="left" w:pos="821"/>
        </w:tabs>
        <w:spacing w:before="20"/>
        <w:ind w:hanging="361"/>
        <w:rPr>
          <w:lang w:val="fr-FR"/>
        </w:rPr>
      </w:pPr>
      <w:r>
        <w:rPr>
          <w:lang w:val="fr-FR"/>
        </w:rPr>
        <w:t>Sélectionnez « Pour Commencer » et terminer les champs comme demandé.</w:t>
      </w:r>
    </w:p>
    <w:p w14:paraId="2FE0E5F1" w14:textId="77777777" w:rsidR="00ED05E0" w:rsidRDefault="00ED05E0" w:rsidP="00ED05E0">
      <w:pPr>
        <w:tabs>
          <w:tab w:val="left" w:pos="821"/>
        </w:tabs>
        <w:spacing w:before="20"/>
        <w:rPr>
          <w:lang w:val="fr-FR"/>
        </w:rPr>
      </w:pPr>
    </w:p>
    <w:p w14:paraId="61E21C53" w14:textId="77777777" w:rsidR="00ED05E0" w:rsidRDefault="00ED05E0" w:rsidP="00ED05E0">
      <w:pPr>
        <w:tabs>
          <w:tab w:val="left" w:pos="821"/>
        </w:tabs>
        <w:spacing w:before="20"/>
        <w:jc w:val="center"/>
        <w:rPr>
          <w:lang w:val="fr-FR"/>
        </w:rPr>
      </w:pPr>
      <w:r>
        <w:rPr>
          <w:noProof/>
        </w:rPr>
        <w:drawing>
          <wp:inline distT="0" distB="0" distL="0" distR="0" wp14:anchorId="196B7DC6" wp14:editId="4BC4D2AC">
            <wp:extent cx="4429125" cy="3219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3219450"/>
                    </a:xfrm>
                    <a:prstGeom prst="rect">
                      <a:avLst/>
                    </a:prstGeom>
                    <a:noFill/>
                    <a:ln>
                      <a:noFill/>
                    </a:ln>
                  </pic:spPr>
                </pic:pic>
              </a:graphicData>
            </a:graphic>
          </wp:inline>
        </w:drawing>
      </w:r>
    </w:p>
    <w:p w14:paraId="3A658AD2" w14:textId="77777777" w:rsidR="00ED05E0" w:rsidRDefault="00ED05E0" w:rsidP="00ED05E0">
      <w:pPr>
        <w:tabs>
          <w:tab w:val="left" w:pos="821"/>
        </w:tabs>
        <w:spacing w:before="20"/>
        <w:rPr>
          <w:lang w:val="fr-FR"/>
        </w:rPr>
      </w:pPr>
    </w:p>
    <w:p w14:paraId="11F86FC2" w14:textId="77777777" w:rsidR="00ED05E0" w:rsidRDefault="00ED05E0" w:rsidP="00ED05E0">
      <w:pPr>
        <w:pStyle w:val="BodyText"/>
      </w:pPr>
    </w:p>
    <w:p w14:paraId="02E4252B" w14:textId="4F1ECF8C" w:rsidR="00ED05E0" w:rsidRDefault="00ED05E0" w:rsidP="00ED05E0">
      <w:pPr>
        <w:pStyle w:val="ListParagraph"/>
        <w:numPr>
          <w:ilvl w:val="0"/>
          <w:numId w:val="1"/>
        </w:numPr>
        <w:tabs>
          <w:tab w:val="left" w:pos="821"/>
        </w:tabs>
        <w:spacing w:before="20"/>
        <w:ind w:hanging="361"/>
        <w:rPr>
          <w:lang w:val="fr-FR"/>
        </w:rPr>
      </w:pPr>
      <w:r>
        <w:rPr>
          <w:lang w:val="fr-FR"/>
        </w:rPr>
        <w:t>Entrez l’adresse électronique à laquelle vous souhaitez recevoir des communications et les formations.</w:t>
      </w:r>
    </w:p>
    <w:p w14:paraId="6C0D1568" w14:textId="0F74D6D5" w:rsidR="00290233" w:rsidRDefault="00290233">
      <w:pPr>
        <w:widowControl/>
        <w:autoSpaceDE/>
        <w:autoSpaceDN/>
        <w:spacing w:after="160" w:line="259" w:lineRule="auto"/>
        <w:rPr>
          <w:lang w:val="fr-FR"/>
        </w:rPr>
      </w:pPr>
      <w:r>
        <w:rPr>
          <w:lang w:val="fr-FR"/>
        </w:rPr>
        <w:br w:type="page"/>
      </w:r>
    </w:p>
    <w:p w14:paraId="0572A53C" w14:textId="77777777" w:rsidR="00ED05E0" w:rsidRDefault="00ED05E0" w:rsidP="00ED05E0">
      <w:pPr>
        <w:pStyle w:val="ListParagraph"/>
        <w:numPr>
          <w:ilvl w:val="0"/>
          <w:numId w:val="1"/>
        </w:numPr>
        <w:tabs>
          <w:tab w:val="left" w:pos="821"/>
        </w:tabs>
        <w:spacing w:before="20"/>
        <w:ind w:hanging="361"/>
        <w:rPr>
          <w:lang w:val="fr-FR"/>
        </w:rPr>
      </w:pPr>
      <w:r>
        <w:rPr>
          <w:lang w:val="fr-FR"/>
        </w:rPr>
        <w:lastRenderedPageBreak/>
        <w:t xml:space="preserve">Sélectionnez « DSÉ – Dossier de santé électronique » comme l’emplacement et choisissez un rôle qui décrit votre position. </w:t>
      </w:r>
    </w:p>
    <w:p w14:paraId="1A39B4A3" w14:textId="77777777" w:rsidR="00ED05E0" w:rsidRDefault="00ED05E0" w:rsidP="00ED05E0">
      <w:pPr>
        <w:tabs>
          <w:tab w:val="left" w:pos="821"/>
        </w:tabs>
        <w:spacing w:before="20"/>
        <w:rPr>
          <w:lang w:val="fr-FR"/>
        </w:rPr>
      </w:pPr>
    </w:p>
    <w:p w14:paraId="32D38069" w14:textId="77777777" w:rsidR="00ED05E0" w:rsidRDefault="00ED05E0" w:rsidP="00ED05E0">
      <w:pPr>
        <w:tabs>
          <w:tab w:val="left" w:pos="821"/>
        </w:tabs>
        <w:spacing w:before="20"/>
        <w:jc w:val="center"/>
        <w:rPr>
          <w:lang w:val="fr-FR"/>
        </w:rPr>
      </w:pPr>
      <w:r>
        <w:rPr>
          <w:noProof/>
        </w:rPr>
        <w:drawing>
          <wp:inline distT="0" distB="0" distL="0" distR="0" wp14:anchorId="58D2DDBC" wp14:editId="2C91598D">
            <wp:extent cx="5724525" cy="465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4657725"/>
                    </a:xfrm>
                    <a:prstGeom prst="rect">
                      <a:avLst/>
                    </a:prstGeom>
                    <a:noFill/>
                    <a:ln>
                      <a:noFill/>
                    </a:ln>
                  </pic:spPr>
                </pic:pic>
              </a:graphicData>
            </a:graphic>
          </wp:inline>
        </w:drawing>
      </w:r>
    </w:p>
    <w:p w14:paraId="407763D4" w14:textId="77777777" w:rsidR="00ED05E0" w:rsidRDefault="00ED05E0" w:rsidP="00ED05E0">
      <w:pPr>
        <w:tabs>
          <w:tab w:val="left" w:pos="821"/>
        </w:tabs>
        <w:spacing w:before="1"/>
      </w:pPr>
    </w:p>
    <w:p w14:paraId="3F3D82D3" w14:textId="77777777" w:rsidR="00ED05E0" w:rsidRPr="00FE2416" w:rsidRDefault="00ED05E0" w:rsidP="00ED05E0">
      <w:pPr>
        <w:pStyle w:val="ListParagraph"/>
        <w:numPr>
          <w:ilvl w:val="0"/>
          <w:numId w:val="1"/>
        </w:numPr>
        <w:tabs>
          <w:tab w:val="left" w:pos="821"/>
        </w:tabs>
        <w:ind w:hanging="361"/>
        <w:rPr>
          <w:lang w:val="fr-FR"/>
        </w:rPr>
      </w:pPr>
      <w:r>
        <w:rPr>
          <w:lang w:val="fr-FR"/>
        </w:rPr>
        <w:t>Choisissez</w:t>
      </w:r>
      <w:r>
        <w:rPr>
          <w:lang w:val="fr-CA"/>
        </w:rPr>
        <w:t xml:space="preserve"> votre rôle (voir la capture d’écran ci-dessous) :</w:t>
      </w:r>
    </w:p>
    <w:p w14:paraId="35D0A515" w14:textId="7C5BA50F" w:rsidR="00ED05E0" w:rsidRPr="003C4CC8" w:rsidRDefault="00091BD9" w:rsidP="00ED05E0">
      <w:pPr>
        <w:pStyle w:val="ListParagraph"/>
        <w:numPr>
          <w:ilvl w:val="1"/>
          <w:numId w:val="1"/>
        </w:numPr>
        <w:tabs>
          <w:tab w:val="left" w:pos="821"/>
        </w:tabs>
        <w:rPr>
          <w:lang w:val="fr-FR"/>
        </w:rPr>
      </w:pPr>
      <w:r w:rsidRPr="00091BD9">
        <w:rPr>
          <w:lang w:val="fr-CA"/>
        </w:rPr>
        <w:t>Le cas échéant, les rôles sont combinés pour inclure à la fois les options cliniques (si vous êtes un professionnel agréé) et non cliniques (Si vous n'avez pas d'organisme de réglementation).</w:t>
      </w:r>
    </w:p>
    <w:p w14:paraId="2059D499" w14:textId="1FA1FCFA" w:rsidR="00ED05E0" w:rsidRDefault="00ED05E0" w:rsidP="00ED05E0">
      <w:pPr>
        <w:pStyle w:val="ListParagraph"/>
        <w:numPr>
          <w:ilvl w:val="1"/>
          <w:numId w:val="1"/>
        </w:numPr>
        <w:tabs>
          <w:tab w:val="left" w:pos="821"/>
        </w:tabs>
        <w:rPr>
          <w:lang w:val="fr-FR"/>
        </w:rPr>
      </w:pPr>
      <w:r>
        <w:rPr>
          <w:lang w:val="fr-FR"/>
        </w:rPr>
        <w:t>Dossiers médicaux électronique (DMÉ) est une solution logicielle fournie par un fournisseur de DMÉ certifié qui permet l’enregistrement électronique des dossiers de patients. Si votre bureau médical utilise ce type de solution logicielle, choisissez Dossier médicaux électronique du bureau</w:t>
      </w:r>
      <w:r w:rsidR="00091BD9">
        <w:rPr>
          <w:lang w:val="fr-FR"/>
        </w:rPr>
        <w:t>.</w:t>
      </w:r>
    </w:p>
    <w:p w14:paraId="313DAD60" w14:textId="77777777" w:rsidR="00ED05E0" w:rsidRDefault="00ED05E0" w:rsidP="00ED05E0">
      <w:pPr>
        <w:pStyle w:val="ListParagraph"/>
        <w:numPr>
          <w:ilvl w:val="1"/>
          <w:numId w:val="1"/>
        </w:numPr>
        <w:tabs>
          <w:tab w:val="left" w:pos="821"/>
        </w:tabs>
        <w:rPr>
          <w:lang w:val="fr-FR"/>
        </w:rPr>
      </w:pPr>
      <w:r>
        <w:rPr>
          <w:lang w:val="fr-FR"/>
        </w:rPr>
        <w:t>Secteur privé désigne les personnes cliniques et de soutiens qui ne sont pas embauchés par le gouvernement, le Réseau Régional de la Santé (RRS), ou par un DMÉ.</w:t>
      </w:r>
    </w:p>
    <w:p w14:paraId="263113C5" w14:textId="5508AC02" w:rsidR="00ED05E0" w:rsidRDefault="00ED05E0" w:rsidP="00ED05E0">
      <w:pPr>
        <w:pStyle w:val="ListParagraph"/>
        <w:numPr>
          <w:ilvl w:val="1"/>
          <w:numId w:val="1"/>
        </w:numPr>
        <w:tabs>
          <w:tab w:val="left" w:pos="821"/>
        </w:tabs>
        <w:rPr>
          <w:lang w:val="fr-FR"/>
        </w:rPr>
      </w:pPr>
      <w:r>
        <w:rPr>
          <w:lang w:val="fr-FR"/>
        </w:rPr>
        <w:t>Gouvernement fédéral désigne les personnes employées dans des institutions fédérales, telles que les Premières nations, les services correctionnels et le ministère de la Défense nationale.</w:t>
      </w:r>
    </w:p>
    <w:p w14:paraId="48BBA51D" w14:textId="127E5754" w:rsidR="00091BD9" w:rsidRPr="00B30FB2" w:rsidRDefault="00091BD9" w:rsidP="00ED05E0">
      <w:pPr>
        <w:pStyle w:val="ListParagraph"/>
        <w:numPr>
          <w:ilvl w:val="1"/>
          <w:numId w:val="1"/>
        </w:numPr>
        <w:tabs>
          <w:tab w:val="left" w:pos="821"/>
        </w:tabs>
        <w:rPr>
          <w:lang w:val="fr-FR"/>
        </w:rPr>
      </w:pPr>
      <w:r w:rsidRPr="00091BD9">
        <w:rPr>
          <w:lang w:val="fr-FR"/>
        </w:rPr>
        <w:t>Le personnel du GNB désigne les personnes employées au gouvernement du Nouveau-Brunswick</w:t>
      </w:r>
      <w:r>
        <w:rPr>
          <w:lang w:val="fr-FR"/>
        </w:rPr>
        <w:t>.</w:t>
      </w:r>
    </w:p>
    <w:p w14:paraId="43D02284" w14:textId="32472A9A" w:rsidR="00ED05E0" w:rsidRDefault="00ED05E0" w:rsidP="00ED05E0">
      <w:pPr>
        <w:tabs>
          <w:tab w:val="left" w:pos="821"/>
        </w:tabs>
        <w:jc w:val="center"/>
        <w:rPr>
          <w:lang w:val="fr-FR"/>
        </w:rPr>
      </w:pPr>
    </w:p>
    <w:p w14:paraId="3497A631" w14:textId="38CF8662" w:rsidR="005B254E" w:rsidRDefault="005B254E" w:rsidP="00ED05E0">
      <w:pPr>
        <w:tabs>
          <w:tab w:val="left" w:pos="821"/>
        </w:tabs>
        <w:jc w:val="center"/>
        <w:rPr>
          <w:lang w:val="fr-FR"/>
        </w:rPr>
      </w:pPr>
    </w:p>
    <w:p w14:paraId="0C633C9D" w14:textId="7C180810" w:rsidR="005B254E" w:rsidRDefault="005B254E" w:rsidP="00ED05E0">
      <w:pPr>
        <w:tabs>
          <w:tab w:val="left" w:pos="821"/>
        </w:tabs>
        <w:jc w:val="center"/>
        <w:rPr>
          <w:lang w:val="fr-FR"/>
        </w:rPr>
      </w:pPr>
      <w:r>
        <w:rPr>
          <w:noProof/>
          <w:lang w:val="fr-FR"/>
        </w:rPr>
        <w:lastRenderedPageBreak/>
        <w:drawing>
          <wp:inline distT="0" distB="0" distL="0" distR="0" wp14:anchorId="0755672A" wp14:editId="142D2C75">
            <wp:extent cx="4315460" cy="667146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077" cy="6694060"/>
                    </a:xfrm>
                    <a:prstGeom prst="rect">
                      <a:avLst/>
                    </a:prstGeom>
                    <a:noFill/>
                    <a:ln>
                      <a:noFill/>
                    </a:ln>
                  </pic:spPr>
                </pic:pic>
              </a:graphicData>
            </a:graphic>
          </wp:inline>
        </w:drawing>
      </w:r>
    </w:p>
    <w:p w14:paraId="22C8F367" w14:textId="77777777" w:rsidR="00ED05E0" w:rsidRPr="00FE2416" w:rsidRDefault="00ED05E0" w:rsidP="00ED05E0">
      <w:pPr>
        <w:tabs>
          <w:tab w:val="left" w:pos="821"/>
        </w:tabs>
        <w:jc w:val="center"/>
        <w:rPr>
          <w:lang w:val="fr-FR"/>
        </w:rPr>
      </w:pPr>
    </w:p>
    <w:p w14:paraId="122E7AE8" w14:textId="77777777" w:rsidR="00ED05E0" w:rsidRDefault="00ED05E0" w:rsidP="00ED05E0">
      <w:pPr>
        <w:pStyle w:val="ListParagraph"/>
        <w:numPr>
          <w:ilvl w:val="0"/>
          <w:numId w:val="1"/>
        </w:numPr>
        <w:tabs>
          <w:tab w:val="left" w:pos="821"/>
        </w:tabs>
        <w:ind w:hanging="361"/>
        <w:rPr>
          <w:lang w:val="fr-FR"/>
        </w:rPr>
      </w:pPr>
      <w:r>
        <w:rPr>
          <w:lang w:val="fr-FR"/>
        </w:rPr>
        <w:t>Lorsque vous avez rempli les informations requises, cliquez sur « Accéder à mon compte ».</w:t>
      </w:r>
    </w:p>
    <w:p w14:paraId="1C2DCA82" w14:textId="77777777" w:rsidR="00ED05E0" w:rsidRDefault="00ED05E0" w:rsidP="00ED05E0">
      <w:pPr>
        <w:pStyle w:val="ListParagraph"/>
        <w:numPr>
          <w:ilvl w:val="0"/>
          <w:numId w:val="1"/>
        </w:numPr>
        <w:tabs>
          <w:tab w:val="left" w:pos="821"/>
        </w:tabs>
        <w:ind w:hanging="361"/>
        <w:rPr>
          <w:lang w:val="fr-FR"/>
        </w:rPr>
      </w:pPr>
      <w:r>
        <w:rPr>
          <w:lang w:val="fr-FR"/>
        </w:rPr>
        <w:t xml:space="preserve">Après cette étape, vous allez recevoir un courriel de validation.  Veuillez cliquer sur le lien contenu dans le courriel pour valider votre compte. </w:t>
      </w:r>
    </w:p>
    <w:p w14:paraId="23BEA7DB" w14:textId="77777777" w:rsidR="00ED05E0" w:rsidRPr="00FE2416" w:rsidRDefault="00ED05E0" w:rsidP="00ED05E0">
      <w:pPr>
        <w:pStyle w:val="ListParagraph"/>
        <w:numPr>
          <w:ilvl w:val="0"/>
          <w:numId w:val="1"/>
        </w:numPr>
        <w:tabs>
          <w:tab w:val="left" w:pos="821"/>
        </w:tabs>
        <w:ind w:hanging="361"/>
        <w:rPr>
          <w:lang w:val="fr-FR"/>
        </w:rPr>
      </w:pPr>
      <w:r>
        <w:rPr>
          <w:lang w:val="fr-FR"/>
        </w:rPr>
        <w:t xml:space="preserve">Une fois votre courriel validé, vous pourrez vous connecter au </w:t>
      </w:r>
      <w:r>
        <w:rPr>
          <w:color w:val="000000"/>
          <w:lang w:val="fr-FR"/>
        </w:rPr>
        <w:t>Centre CyberSantéNB</w:t>
      </w:r>
      <w:r>
        <w:rPr>
          <w:lang w:val="fr-FR"/>
        </w:rPr>
        <w:t xml:space="preserve">. </w:t>
      </w:r>
    </w:p>
    <w:p w14:paraId="53DE0C12" w14:textId="77777777" w:rsidR="00552860" w:rsidRPr="00ED05E0" w:rsidRDefault="00552860">
      <w:pPr>
        <w:rPr>
          <w:lang w:val="fr-FR"/>
        </w:rPr>
      </w:pPr>
    </w:p>
    <w:sectPr w:rsidR="00552860" w:rsidRPr="00ED05E0" w:rsidSect="00ED05E0">
      <w:pgSz w:w="12240" w:h="15840"/>
      <w:pgMar w:top="14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52E46"/>
    <w:multiLevelType w:val="hybridMultilevel"/>
    <w:tmpl w:val="C1ECF78C"/>
    <w:lvl w:ilvl="0" w:tplc="82929D2C">
      <w:start w:val="1"/>
      <w:numFmt w:val="decimal"/>
      <w:lvlText w:val="%1."/>
      <w:lvlJc w:val="left"/>
      <w:pPr>
        <w:ind w:left="820" w:hanging="360"/>
        <w:jc w:val="left"/>
      </w:pPr>
      <w:rPr>
        <w:rFonts w:ascii="Calibri" w:eastAsia="Calibri" w:hAnsi="Calibri" w:cs="Calibri" w:hint="default"/>
        <w:w w:val="100"/>
        <w:sz w:val="22"/>
        <w:szCs w:val="22"/>
        <w:lang w:val="en-CA" w:eastAsia="en-CA" w:bidi="en-CA"/>
      </w:rPr>
    </w:lvl>
    <w:lvl w:ilvl="1" w:tplc="4D344C06">
      <w:numFmt w:val="bullet"/>
      <w:lvlText w:val="•"/>
      <w:lvlJc w:val="left"/>
      <w:pPr>
        <w:ind w:left="1694" w:hanging="360"/>
      </w:pPr>
      <w:rPr>
        <w:rFonts w:hint="default"/>
        <w:lang w:val="en-CA" w:eastAsia="en-CA" w:bidi="en-CA"/>
      </w:rPr>
    </w:lvl>
    <w:lvl w:ilvl="2" w:tplc="E3F4850E">
      <w:numFmt w:val="bullet"/>
      <w:lvlText w:val="•"/>
      <w:lvlJc w:val="left"/>
      <w:pPr>
        <w:ind w:left="2568" w:hanging="360"/>
      </w:pPr>
      <w:rPr>
        <w:rFonts w:hint="default"/>
        <w:lang w:val="en-CA" w:eastAsia="en-CA" w:bidi="en-CA"/>
      </w:rPr>
    </w:lvl>
    <w:lvl w:ilvl="3" w:tplc="CBE4A5C6">
      <w:numFmt w:val="bullet"/>
      <w:lvlText w:val="•"/>
      <w:lvlJc w:val="left"/>
      <w:pPr>
        <w:ind w:left="3442" w:hanging="360"/>
      </w:pPr>
      <w:rPr>
        <w:rFonts w:hint="default"/>
        <w:lang w:val="en-CA" w:eastAsia="en-CA" w:bidi="en-CA"/>
      </w:rPr>
    </w:lvl>
    <w:lvl w:ilvl="4" w:tplc="16DC4F54">
      <w:numFmt w:val="bullet"/>
      <w:lvlText w:val="•"/>
      <w:lvlJc w:val="left"/>
      <w:pPr>
        <w:ind w:left="4316" w:hanging="360"/>
      </w:pPr>
      <w:rPr>
        <w:rFonts w:hint="default"/>
        <w:lang w:val="en-CA" w:eastAsia="en-CA" w:bidi="en-CA"/>
      </w:rPr>
    </w:lvl>
    <w:lvl w:ilvl="5" w:tplc="CA96617E">
      <w:numFmt w:val="bullet"/>
      <w:lvlText w:val="•"/>
      <w:lvlJc w:val="left"/>
      <w:pPr>
        <w:ind w:left="5190" w:hanging="360"/>
      </w:pPr>
      <w:rPr>
        <w:rFonts w:hint="default"/>
        <w:lang w:val="en-CA" w:eastAsia="en-CA" w:bidi="en-CA"/>
      </w:rPr>
    </w:lvl>
    <w:lvl w:ilvl="6" w:tplc="AFEC8F64">
      <w:numFmt w:val="bullet"/>
      <w:lvlText w:val="•"/>
      <w:lvlJc w:val="left"/>
      <w:pPr>
        <w:ind w:left="6064" w:hanging="360"/>
      </w:pPr>
      <w:rPr>
        <w:rFonts w:hint="default"/>
        <w:lang w:val="en-CA" w:eastAsia="en-CA" w:bidi="en-CA"/>
      </w:rPr>
    </w:lvl>
    <w:lvl w:ilvl="7" w:tplc="8632A0D6">
      <w:numFmt w:val="bullet"/>
      <w:lvlText w:val="•"/>
      <w:lvlJc w:val="left"/>
      <w:pPr>
        <w:ind w:left="6938" w:hanging="360"/>
      </w:pPr>
      <w:rPr>
        <w:rFonts w:hint="default"/>
        <w:lang w:val="en-CA" w:eastAsia="en-CA" w:bidi="en-CA"/>
      </w:rPr>
    </w:lvl>
    <w:lvl w:ilvl="8" w:tplc="DD00FA4A">
      <w:numFmt w:val="bullet"/>
      <w:lvlText w:val="•"/>
      <w:lvlJc w:val="left"/>
      <w:pPr>
        <w:ind w:left="7812" w:hanging="360"/>
      </w:pPr>
      <w:rPr>
        <w:rFonts w:hint="default"/>
        <w:lang w:val="en-CA" w:eastAsia="en-CA" w:bidi="en-C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E0"/>
    <w:rsid w:val="00091BD9"/>
    <w:rsid w:val="00290233"/>
    <w:rsid w:val="00552860"/>
    <w:rsid w:val="005B254E"/>
    <w:rsid w:val="00882FE0"/>
    <w:rsid w:val="00A85DBC"/>
    <w:rsid w:val="00ED05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585C"/>
  <w15:chartTrackingRefBased/>
  <w15:docId w15:val="{81736089-1BF7-4794-BADB-7F3D5B7C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E0"/>
    <w:pPr>
      <w:widowControl w:val="0"/>
      <w:autoSpaceDE w:val="0"/>
      <w:autoSpaceDN w:val="0"/>
      <w:spacing w:after="0" w:line="240" w:lineRule="auto"/>
    </w:pPr>
    <w:rPr>
      <w:rFonts w:ascii="Calibri" w:eastAsia="Calibri" w:hAnsi="Calibri" w:cs="Calibri"/>
      <w:lang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05E0"/>
  </w:style>
  <w:style w:type="character" w:customStyle="1" w:styleId="BodyTextChar">
    <w:name w:val="Body Text Char"/>
    <w:basedOn w:val="DefaultParagraphFont"/>
    <w:link w:val="BodyText"/>
    <w:uiPriority w:val="1"/>
    <w:rsid w:val="00ED05E0"/>
    <w:rPr>
      <w:rFonts w:ascii="Calibri" w:eastAsia="Calibri" w:hAnsi="Calibri" w:cs="Calibri"/>
      <w:lang w:eastAsia="en-CA" w:bidi="en-CA"/>
    </w:rPr>
  </w:style>
  <w:style w:type="paragraph" w:styleId="ListParagraph">
    <w:name w:val="List Paragraph"/>
    <w:basedOn w:val="Normal"/>
    <w:uiPriority w:val="34"/>
    <w:qFormat/>
    <w:rsid w:val="00ED05E0"/>
    <w:pPr>
      <w:ind w:left="820" w:hanging="361"/>
    </w:pPr>
  </w:style>
  <w:style w:type="character" w:styleId="Hyperlink">
    <w:name w:val="Hyperlink"/>
    <w:basedOn w:val="DefaultParagraphFont"/>
    <w:uiPriority w:val="99"/>
    <w:semiHidden/>
    <w:unhideWhenUsed/>
    <w:rsid w:val="00ED05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ealthnbcentre.itacit.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A2756CF91C54380772CE24FD733BD" ma:contentTypeVersion="1" ma:contentTypeDescription="Create a new document." ma:contentTypeScope="" ma:versionID="6c13594745772c80fa1678516eff894c">
  <xsd:schema xmlns:xsd="http://www.w3.org/2001/XMLSchema" xmlns:xs="http://www.w3.org/2001/XMLSchema" xmlns:p="http://schemas.microsoft.com/office/2006/metadata/properties" xmlns:ns1="http://schemas.microsoft.com/sharepoint/v3" targetNamespace="http://schemas.microsoft.com/office/2006/metadata/properties" ma:root="true" ma:fieldsID="18eccab7e06c40e5fe83bf06182e4b5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AC376C-279C-44AC-82B1-25792C2E274E}">
  <ds:schemaRefs>
    <ds:schemaRef ds:uri="http://schemas.microsoft.com/sharepoint/v3/contenttype/forms"/>
  </ds:schemaRefs>
</ds:datastoreItem>
</file>

<file path=customXml/itemProps2.xml><?xml version="1.0" encoding="utf-8"?>
<ds:datastoreItem xmlns:ds="http://schemas.openxmlformats.org/officeDocument/2006/customXml" ds:itemID="{6D112A75-BF60-45A1-9B59-8D5F5981CBBF}"/>
</file>

<file path=customXml/itemProps3.xml><?xml version="1.0" encoding="utf-8"?>
<ds:datastoreItem xmlns:ds="http://schemas.openxmlformats.org/officeDocument/2006/customXml" ds:itemID="{EC45F753-4A24-42B9-BE7D-2D55A8ACC0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Josée (DH/MS)</dc:creator>
  <cp:keywords/>
  <dc:description/>
  <cp:lastModifiedBy>Sakri, Mohamed (DH/MS)</cp:lastModifiedBy>
  <cp:revision>3</cp:revision>
  <dcterms:created xsi:type="dcterms:W3CDTF">2022-02-15T16:21:00Z</dcterms:created>
  <dcterms:modified xsi:type="dcterms:W3CDTF">2022-02-15T16:35:00Z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0x010100DB5A2756CF91C54380772CE24FD733BD</vt:lpwstr>
  </property>
</Properties>
</file>